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37138" w:rsidRPr="008A08B0" w:rsidTr="000663E6">
        <w:trPr>
          <w:trHeight w:val="1411"/>
        </w:trPr>
        <w:tc>
          <w:tcPr>
            <w:tcW w:w="2500" w:type="pct"/>
          </w:tcPr>
          <w:p w:rsidR="00437138" w:rsidRPr="008A08B0" w:rsidRDefault="00437138" w:rsidP="003001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8B0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A09A105" wp14:editId="2E72EB80">
                  <wp:extent cx="1821485" cy="1000998"/>
                  <wp:effectExtent l="0" t="0" r="762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290" cy="10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437138" w:rsidRPr="008A08B0" w:rsidRDefault="00437138" w:rsidP="0030016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08B0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9C14733" wp14:editId="56D51DC2">
                  <wp:extent cx="1762963" cy="1016512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738" cy="1026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ListeTablo6Renkli-Vurgu5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37138" w:rsidRPr="008A08B0" w:rsidTr="00066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437138" w:rsidRPr="008A08B0" w:rsidRDefault="00AD4C5B" w:rsidP="003001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A08B0">
              <w:rPr>
                <w:rFonts w:ascii="Times New Roman" w:eastAsia="Times New Roman" w:hAnsi="Times New Roman" w:cs="Times New Roman"/>
                <w:lang w:eastAsia="tr-TR"/>
              </w:rPr>
              <w:t xml:space="preserve">KÜÇÜK HAYVANLARDA BT GÖRÜNTÜLEME: ABDOMEN </w:t>
            </w:r>
            <w:r w:rsidR="00437138" w:rsidRPr="008A08B0">
              <w:rPr>
                <w:rFonts w:ascii="Times New Roman" w:eastAsia="Times New Roman" w:hAnsi="Times New Roman" w:cs="Times New Roman"/>
                <w:lang w:eastAsia="tr-TR"/>
              </w:rPr>
              <w:t>EĞİTİMİ</w:t>
            </w:r>
            <w:r w:rsidR="00437138" w:rsidRPr="008A08B0">
              <w:rPr>
                <w:rFonts w:ascii="Times New Roman" w:eastAsia="Times New Roman" w:hAnsi="Times New Roman" w:cs="Times New Roman"/>
                <w:lang w:eastAsia="tr-TR"/>
              </w:rPr>
              <w:br/>
              <w:t>ETKİNLİK MEMNUNİYET ANKETİ DEĞERLENDİRME RAPORU</w:t>
            </w:r>
          </w:p>
        </w:tc>
      </w:tr>
    </w:tbl>
    <w:p w:rsidR="00437138" w:rsidRPr="008A08B0" w:rsidRDefault="00437138" w:rsidP="0030016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A08B0">
        <w:rPr>
          <w:rFonts w:ascii="Times New Roman" w:hAnsi="Times New Roman" w:cs="Times New Roman"/>
          <w:b/>
        </w:rPr>
        <w:t>2025-2026 EĞİTİM-ÖĞRETİM YILI BAHAR YARIYILI</w:t>
      </w:r>
    </w:p>
    <w:p w:rsidR="00AD4C5B" w:rsidRPr="008A08B0" w:rsidRDefault="00AD4C5B" w:rsidP="00AD4C5B">
      <w:pPr>
        <w:pStyle w:val="NormalWeb"/>
        <w:spacing w:line="276" w:lineRule="auto"/>
        <w:jc w:val="center"/>
        <w:rPr>
          <w:b/>
          <w:bCs/>
          <w:sz w:val="22"/>
          <w:szCs w:val="22"/>
        </w:rPr>
      </w:pPr>
      <w:r w:rsidRPr="008A08B0">
        <w:rPr>
          <w:b/>
          <w:bCs/>
          <w:sz w:val="22"/>
          <w:szCs w:val="22"/>
        </w:rPr>
        <w:t xml:space="preserve">Konuşmacı: Prof. Dr. Murat SARIERLER </w:t>
      </w:r>
    </w:p>
    <w:p w:rsidR="00AD4C5B" w:rsidRPr="008A08B0" w:rsidRDefault="00AD4C5B" w:rsidP="00AD4C5B">
      <w:pPr>
        <w:pStyle w:val="NormalWeb"/>
        <w:spacing w:line="276" w:lineRule="auto"/>
        <w:jc w:val="center"/>
        <w:rPr>
          <w:bCs/>
          <w:sz w:val="22"/>
          <w:szCs w:val="22"/>
        </w:rPr>
      </w:pPr>
      <w:r w:rsidRPr="008A08B0">
        <w:rPr>
          <w:bCs/>
          <w:sz w:val="22"/>
          <w:szCs w:val="22"/>
        </w:rPr>
        <w:t>Aydın Adnan Menderes Üniversitesi Veteriner Fakültesi, Cerrahi Anabilim Dalı Öğretim Üyesi</w:t>
      </w:r>
    </w:p>
    <w:p w:rsidR="00437138" w:rsidRPr="008A08B0" w:rsidRDefault="00437138" w:rsidP="00AD4C5B">
      <w:pPr>
        <w:pStyle w:val="NormalWeb"/>
        <w:spacing w:line="276" w:lineRule="auto"/>
        <w:jc w:val="center"/>
        <w:rPr>
          <w:b/>
          <w:sz w:val="22"/>
          <w:szCs w:val="22"/>
        </w:rPr>
      </w:pPr>
      <w:r w:rsidRPr="008A08B0">
        <w:rPr>
          <w:rFonts w:ascii="Segoe UI Symbol" w:hAnsi="Segoe UI Symbol" w:cs="Segoe UI Symbol"/>
          <w:sz w:val="22"/>
          <w:szCs w:val="22"/>
        </w:rPr>
        <w:t>📅</w:t>
      </w:r>
      <w:r w:rsidRPr="008A08B0">
        <w:rPr>
          <w:sz w:val="22"/>
          <w:szCs w:val="22"/>
        </w:rPr>
        <w:t xml:space="preserve"> </w:t>
      </w:r>
      <w:r w:rsidRPr="008A08B0">
        <w:rPr>
          <w:b/>
          <w:sz w:val="22"/>
          <w:szCs w:val="22"/>
        </w:rPr>
        <w:t xml:space="preserve">Tarih: </w:t>
      </w:r>
      <w:r w:rsidR="00AD4C5B" w:rsidRPr="008A08B0">
        <w:rPr>
          <w:b/>
          <w:sz w:val="22"/>
          <w:szCs w:val="22"/>
        </w:rPr>
        <w:t>27</w:t>
      </w:r>
      <w:r w:rsidRPr="008A08B0">
        <w:rPr>
          <w:b/>
          <w:sz w:val="22"/>
          <w:szCs w:val="22"/>
        </w:rPr>
        <w:t>.03.2026</w:t>
      </w:r>
    </w:p>
    <w:p w:rsidR="00437138" w:rsidRPr="008A08B0" w:rsidRDefault="00437138" w:rsidP="0030016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A08B0">
        <w:rPr>
          <w:rFonts w:ascii="Segoe UI Symbol" w:hAnsi="Segoe UI Symbol" w:cs="Segoe UI Symbol"/>
          <w:b/>
        </w:rPr>
        <w:t>🕒</w:t>
      </w:r>
      <w:r w:rsidRPr="008A08B0">
        <w:rPr>
          <w:rFonts w:ascii="Times New Roman" w:hAnsi="Times New Roman" w:cs="Times New Roman"/>
          <w:b/>
        </w:rPr>
        <w:t xml:space="preserve"> Saat: </w:t>
      </w:r>
      <w:r w:rsidR="00AD4C5B" w:rsidRPr="008A08B0">
        <w:rPr>
          <w:rFonts w:ascii="Times New Roman" w:hAnsi="Times New Roman" w:cs="Times New Roman"/>
          <w:b/>
        </w:rPr>
        <w:t>14</w:t>
      </w:r>
      <w:r w:rsidRPr="008A08B0">
        <w:rPr>
          <w:rFonts w:ascii="Times New Roman" w:hAnsi="Times New Roman" w:cs="Times New Roman"/>
          <w:b/>
        </w:rPr>
        <w:t>.00</w:t>
      </w:r>
    </w:p>
    <w:p w:rsidR="00AD4C5B" w:rsidRPr="008A08B0" w:rsidRDefault="00AD4C5B" w:rsidP="00AD4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Düzenleyen:</w:t>
      </w:r>
    </w:p>
    <w:p w:rsidR="00AD4C5B" w:rsidRPr="008A08B0" w:rsidRDefault="00AD4C5B" w:rsidP="00AD4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Siirt Üniversitesi Hayvan Sağlığı Uygulama Ve Araştırma Merkezi 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Siirt Üniversitesi Sağlık Bilimleri Enstitüsü Müdürlüğü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Siirt Üniversitesi Veteriner Fakültesi</w:t>
      </w:r>
    </w:p>
    <w:p w:rsidR="00AD4C5B" w:rsidRPr="008A08B0" w:rsidRDefault="00AD4C5B" w:rsidP="0030016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437138" w:rsidRPr="008A08B0" w:rsidRDefault="00437138" w:rsidP="0030016C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SİİRT ÜNİVERSİTESİ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br/>
        <w:t>SAĞLIK BİLİMLERİ ENSTİTÜSÜ</w:t>
      </w:r>
    </w:p>
    <w:p w:rsidR="00437138" w:rsidRPr="008A08B0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Gerçekleştirilen 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“</w:t>
      </w:r>
      <w:r w:rsidR="00AD4C5B"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KÜÇÜK HAYVANLARDA BT GÖRÜNTÜLEME: ABDOMEN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”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eğitimi sonrasında katılımcıların memnuniyet düzeylerini belirlemek, etkinliğin akademik katkısını değerlendirmek ve gelecekte düzenlenecek eğitim faaliyetlerine yönelik iyileştirme alanlarını tespit etmek amacıyla 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Etkinlik Memnuniyet Anketi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uygulanmıştır.</w:t>
      </w:r>
    </w:p>
    <w:p w:rsidR="00437138" w:rsidRPr="008A08B0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Anket sonuçları analiz edilerek aşağıda değerlendirilmiştir.</w:t>
      </w:r>
    </w:p>
    <w:p w:rsidR="00437138" w:rsidRPr="008A08B0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Ankete 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toplam </w:t>
      </w:r>
      <w:r w:rsidR="00AD4C5B"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40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kişi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 sağlamıştır.</w:t>
      </w:r>
    </w:p>
    <w:p w:rsidR="00437138" w:rsidRPr="008A08B0" w:rsidRDefault="008A08B0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437138" w:rsidRPr="008A08B0" w:rsidRDefault="00437138" w:rsidP="003001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Bölüm 1: Genel Bilgiler</w:t>
      </w:r>
    </w:p>
    <w:p w:rsidR="00437138" w:rsidRPr="008A08B0" w:rsidRDefault="00437138" w:rsidP="00AD4C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Soru 1: Katılımcıların akademik statüsü nedir?</w:t>
      </w:r>
    </w:p>
    <w:p w:rsidR="00AD4C5B" w:rsidRPr="008A08B0" w:rsidRDefault="00AD4C5B" w:rsidP="00AD4C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Etkinliğe toplam 40 kişi katılım sağlamıştır. Katılımcıların akademik ve eğitim düzeylerine göre dağılımı incelendiğinde, hedef kitlenin büyük bir çoğunluğunu %82,5 (33 kişi) ile Lisans düzeyindeki öğrenci ve mezunların oluşturduğu görülmektedir. Bu grubu %7,5 (3 kişi) ile Doktora, %5,0 (2 kişi) ile Yüksek Lisans ve %2,5'er oranla (1'er kişi) Araştırmacı ve Öğrenci statüsündeki katılımcılar takip 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etmiştir. Bu veriler, ileri görüntüleme tekniklerine yönelik ilginin mezuniyet öncesi ve sonrası her kademede yüksek olduğunu kanıtlamaktadır.</w:t>
      </w:r>
    </w:p>
    <w:p w:rsidR="0030016C" w:rsidRPr="008A08B0" w:rsidRDefault="007A14B1" w:rsidP="00AD4C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56689690" wp14:editId="0EAA047A">
            <wp:extent cx="5325218" cy="264832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8A08B0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:rsidR="00437138" w:rsidRPr="008A08B0" w:rsidRDefault="00437138" w:rsidP="003001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Bölüm 2: İçerik ve Sunum Değerlendirmesi</w:t>
      </w:r>
    </w:p>
    <w:p w:rsidR="00437138" w:rsidRPr="008A08B0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İçerik ve sunum değerlendirilmesinde katılımcılardan aşağıdaki ölçek doğrultusunda puan vermeleri istenmiştir:</w:t>
      </w:r>
    </w:p>
    <w:p w:rsidR="00437138" w:rsidRPr="008A08B0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1: Kesinlikle Katılmıyorum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2: Katılmıyorum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3: Kararsızım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4: Katılıyorum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5: Kesinlikle Katılıyorum</w:t>
      </w:r>
    </w:p>
    <w:p w:rsidR="0030016C" w:rsidRPr="008A08B0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Elde edilen sonuçlara göre katılımcıların eğitime ilişkin memnuniyet düzeylerinin 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çok yüksek olduğu</w:t>
      </w: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görülmektedir.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1: Etkinlik genel olarak beklentilerimi karşıladı.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%92,5’i bu ifadeye 4 ve 5 puan vererek etkinliğin beklentileriyle tam örtüştüğünü belirtmiştir.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drawing>
          <wp:inline distT="0" distB="0" distL="0" distR="0" wp14:anchorId="5EFCBF6F" wp14:editId="2148E6E2">
            <wp:extent cx="5760720" cy="203962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4,55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2: Etkinliğin içeriği ilan edilen amaca (Abdomen BT ve Klinik Yaklaşım) uygundu.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%95’i içeriğin başlık ve kapsamla tam uyumlu olduğunu onaylamıştır.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04CE329D" wp14:editId="75786196">
            <wp:extent cx="5760720" cy="187388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4,83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3: Etkinlik süresi ve vaka sunumlarına ayrılan zaman yeterliydi.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Teorik anlatım ile klinik vaka analizleri arasındaki dengenin korunduğu görülmektedir.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2644AC4F" wp14:editId="33930D12">
            <wp:extent cx="5760720" cy="2044065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4,63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4: Organizasyon (duyuru, erişim vb.) başarılıydı.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büyük çoğunluğu etkinliğin duyurulması ve erişim imkanlarını başarılı bulmuştur.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drawing>
          <wp:inline distT="0" distB="0" distL="0" distR="0" wp14:anchorId="2B693220" wp14:editId="7DB4AD25">
            <wp:extent cx="5760720" cy="1941830"/>
            <wp:effectExtent l="0" t="0" r="0" b="127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63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5: Etkinliğin içeriği ilan edilen amaca (Abdomen BT ve Klinik Yaklaşım) uygundu.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%87,5'i bu ifadeye tam puan (5) vererek içeriğin duyurulan kapsamla birebir örtüştüğünü teyit etmiştir. Katılımcıların %95'i içerikten yüksek düzeyde memnuniyet duymuştur.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17635523" wp14:editId="58C5DA62">
            <wp:extent cx="5760720" cy="1915795"/>
            <wp:effectExtent l="0" t="0" r="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4,83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6: Etkinlik süresi ve vaka sunumlarına ayrılan zaman yeterliydi.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%75'i süreyi tamamen yeterli bulurken, vaka analizlerine ayrılan vaktin teorik bilgiyle dengeli bir şekilde dağıtıldığı görülmektedir.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3957C40F" wp14:editId="770940D9">
            <wp:extent cx="5760720" cy="196469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4,68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Soru 7: Amfi düzeni ve fiziksel şartlar (görüntü kalitesi, ses, oturma düzeni) yeterliydi.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%57,5'i bu ifadeye 5 puan vermiştir. Anket genelindeki en düşük ortalamaya sahip olan bu madde, gelecekteki etkinlikler için salonun teknik altyapısının (ses ve görüntü sistemleri) iyileştirilmesi gerektiğini göstermektedir.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3909B706" wp14:editId="44BF3420">
            <wp:extent cx="5760720" cy="18351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3,93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8: Karın içi organların (karaciğer, dalak, böbrek vb.) BT kesitlerindeki normal ve patolojik görünümleri hakkında bilgi kazandım.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Öğrenme çıktıları açısından kritik öneme sahip olan bu soruda, katılımcıların %87,5'i en yüksek puanı vererek radyolojik teşhis kabiliyetlerinin arttığını beyan etmiştir.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763F8C62" wp14:editId="7EF986DB">
            <wp:extent cx="5760720" cy="187579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4,7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9: Cerrahi operasyon öncesi BT ile planlama yapmanın önemini ve kritik ipuçlarını öğrendim.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%75'i cerrahi karar verme sürecinde </w:t>
      </w:r>
      <w:proofErr w:type="spellStart"/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BT'nin</w:t>
      </w:r>
      <w:proofErr w:type="spellEnd"/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stratejik önemini kavradıklarını belirtmiştir. Bu sonuç, eğitimin klinik pratik hedeflerine ulaştığını kanıtlamaktadır.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drawing>
          <wp:inline distT="0" distB="0" distL="0" distR="0" wp14:anchorId="45B7781E" wp14:editId="2A87FAC8">
            <wp:extent cx="5760720" cy="188912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4,6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10: Sunulan vaka analizleri, klinik yaklaşımlarımı geliştirmeme yardımcı oldu.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%80'i vaka incelemelerinin mesleki bakış açılarını olumlu yönde etkilediğini ifade etmiştir.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3DAC8301" wp14:editId="1E2A879F">
            <wp:extent cx="5760720" cy="1995170"/>
            <wp:effectExtent l="0" t="0" r="0" b="508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4,65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11: BT raporlarını yorumlama ve klinikte kullanma konusundaki farkındalığım arttı.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büyük çoğunluğu (%80 tam puan), radyolojik raporları analiz etme ve bu verileri klinik süreçlere dahil etme konusunda özgüven kazandığını belirtmiştir.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60A19276" wp14:editId="317C9F72">
            <wp:extent cx="5760720" cy="1917700"/>
            <wp:effectExtent l="0" t="0" r="0" b="635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63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Soru 12: Konuşmacı, karmaşık radyolojik bulguları açık ve anlaşılır bir dille aktardı.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%85'i eğitmenin anlatım dilini ve iletişim becerisini çok başarılı bulmuştur. Akademik bilginin anlaşılır kılınması eğitimin verimliliğini artırmıştır.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14FDA571" wp14:editId="61C0AF66">
            <wp:extent cx="5760720" cy="1964055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4,78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13: Sunumda kullanılan görsel materyaller (BT kesitleri, vaka görselleri) eğiticiydi.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Materyal kalitesi konusunda %85 oranında tam memnuniyet sağlanmıştır. Görsel zenginliğin, teknik konuların kavranmasında kilit rol oynadığı görülmektedir.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3815C39B" wp14:editId="35FDEC33">
            <wp:extent cx="5760720" cy="1950085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4,7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14: Katılımcılardan gelen klinik sorulara verilen yanıtlar doyurucuydu.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%80'i interaktif soru-cevap bölümünden tam memnuniyet duymuş, eğitimin tartışma ortamının verimli olduğunu belirtmiştir.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drawing>
          <wp:inline distT="0" distB="0" distL="0" distR="0" wp14:anchorId="695B20AA" wp14:editId="6801062D">
            <wp:extent cx="5760720" cy="194818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5" w:rsidRPr="00E14CED" w:rsidRDefault="006856D5" w:rsidP="006856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Ortalama Puan: 4,</w:t>
      </w:r>
      <w:r w:rsidRPr="008A0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68</w:t>
      </w:r>
    </w:p>
    <w:p w:rsidR="006856D5" w:rsidRPr="00E14CED" w:rsidRDefault="006856D5" w:rsidP="006856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:rsidR="006856D5" w:rsidRPr="00E14CED" w:rsidRDefault="006856D5" w:rsidP="006856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Görüş ve Öneriler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1: Etkinliğin en faydalı bulduğunuz yönü nedir?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 yanıtları incelendiğinde öne çıkan unsurlar şunlardır:</w:t>
      </w:r>
    </w:p>
    <w:p w:rsidR="006856D5" w:rsidRPr="00E14CED" w:rsidRDefault="006856D5" w:rsidP="006856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Klinik Pratiklik: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Üniversitede cihaz olmamasına rağmen, "varmış gibi" anlatılan pratik yaklaşımlar.</w:t>
      </w:r>
    </w:p>
    <w:p w:rsidR="006856D5" w:rsidRPr="00E14CED" w:rsidRDefault="006856D5" w:rsidP="006856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Vaka Analizleri: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Teorik bilginin gerçek klinik vakalar üzerinden somutlaştırılması.</w:t>
      </w:r>
    </w:p>
    <w:p w:rsidR="006856D5" w:rsidRPr="00E14CED" w:rsidRDefault="006856D5" w:rsidP="006856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Cerrahi Planlama: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BT'nin</w:t>
      </w:r>
      <w:proofErr w:type="spellEnd"/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cerrahi operasyon öncesindeki kritik öneminin vurgulanması.</w:t>
      </w:r>
    </w:p>
    <w:p w:rsidR="006856D5" w:rsidRPr="00E14CED" w:rsidRDefault="006856D5" w:rsidP="006856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Görsel Hafıza: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BT raporlarını yorumlama konusundaki farkındalığın artması.</w:t>
      </w:r>
    </w:p>
    <w:p w:rsidR="006856D5" w:rsidRPr="008A08B0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2: Gelecekte hangi konularda daha detaylı bilgilendirme yapılmasını istersiniz?</w:t>
      </w: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Katılımcıların en çok talep ettiği başlıklar:</w:t>
      </w:r>
    </w:p>
    <w:p w:rsidR="006856D5" w:rsidRPr="008A08B0" w:rsidRDefault="006856D5" w:rsidP="006856D5">
      <w:pPr>
        <w:pStyle w:val="NormalWeb"/>
        <w:rPr>
          <w:sz w:val="22"/>
          <w:szCs w:val="22"/>
        </w:rPr>
      </w:pPr>
      <w:r w:rsidRPr="008A08B0">
        <w:rPr>
          <w:sz w:val="22"/>
          <w:szCs w:val="22"/>
        </w:rPr>
        <w:t>*Katılımcıların en büyük beklentisi, mevcut BT eğitiminin diğer ileri görüntüleme yöntemleriyle desteklenmesidir.</w:t>
      </w:r>
    </w:p>
    <w:p w:rsidR="006856D5" w:rsidRPr="008A08B0" w:rsidRDefault="006856D5" w:rsidP="006856D5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Kardiyoloji Odaklı:</w:t>
      </w:r>
      <w:r w:rsidRPr="008A08B0">
        <w:rPr>
          <w:sz w:val="22"/>
          <w:szCs w:val="22"/>
        </w:rPr>
        <w:t xml:space="preserve"> Ekokardiyografi, Ultrasonografi, Kalp BT ve genel </w:t>
      </w:r>
      <w:proofErr w:type="spellStart"/>
      <w:r w:rsidRPr="008A08B0">
        <w:rPr>
          <w:sz w:val="22"/>
          <w:szCs w:val="22"/>
        </w:rPr>
        <w:t>kardiyovasküler</w:t>
      </w:r>
      <w:proofErr w:type="spellEnd"/>
      <w:r w:rsidRPr="008A08B0">
        <w:rPr>
          <w:sz w:val="22"/>
          <w:szCs w:val="22"/>
        </w:rPr>
        <w:t xml:space="preserve"> sistem muayenesi.</w:t>
      </w:r>
    </w:p>
    <w:p w:rsidR="006856D5" w:rsidRPr="008A08B0" w:rsidRDefault="006856D5" w:rsidP="006856D5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İleri Teknikler:</w:t>
      </w:r>
      <w:r w:rsidRPr="008A08B0">
        <w:rPr>
          <w:sz w:val="22"/>
          <w:szCs w:val="22"/>
        </w:rPr>
        <w:t xml:space="preserve"> MRI (özellikle </w:t>
      </w:r>
      <w:proofErr w:type="spellStart"/>
      <w:r w:rsidRPr="008A08B0">
        <w:rPr>
          <w:sz w:val="22"/>
          <w:szCs w:val="22"/>
        </w:rPr>
        <w:t>Cranium</w:t>
      </w:r>
      <w:proofErr w:type="spellEnd"/>
      <w:r w:rsidRPr="008A08B0">
        <w:rPr>
          <w:sz w:val="22"/>
          <w:szCs w:val="22"/>
        </w:rPr>
        <w:t>/Kafatası MR), Endoskopi ve Röntgen teknikleri.</w:t>
      </w:r>
    </w:p>
    <w:p w:rsidR="006856D5" w:rsidRPr="008A08B0" w:rsidRDefault="006856D5" w:rsidP="006856D5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İleri Ortopedi:</w:t>
      </w:r>
      <w:r w:rsidRPr="008A08B0">
        <w:rPr>
          <w:sz w:val="22"/>
          <w:szCs w:val="22"/>
        </w:rPr>
        <w:t xml:space="preserve"> Ortopedik vakalarda ileri görüntüleme yaklaşımları.</w:t>
      </w:r>
    </w:p>
    <w:p w:rsidR="006856D5" w:rsidRPr="008A08B0" w:rsidRDefault="006856D5" w:rsidP="006856D5">
      <w:pPr>
        <w:pStyle w:val="NormalWeb"/>
        <w:rPr>
          <w:sz w:val="22"/>
          <w:szCs w:val="22"/>
        </w:rPr>
      </w:pPr>
      <w:r w:rsidRPr="008A08B0">
        <w:rPr>
          <w:sz w:val="22"/>
          <w:szCs w:val="22"/>
        </w:rPr>
        <w:t>*Özellikle pratik ve sahada uygulanabilir bilgilere yönelik güçlü bir istek mevcuttur.</w:t>
      </w:r>
    </w:p>
    <w:p w:rsidR="006856D5" w:rsidRPr="008A08B0" w:rsidRDefault="006856D5" w:rsidP="006856D5">
      <w:pPr>
        <w:pStyle w:val="NormalWeb"/>
        <w:numPr>
          <w:ilvl w:val="0"/>
          <w:numId w:val="18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Çiftlik Hayvanları:</w:t>
      </w:r>
      <w:r w:rsidRPr="008A08B0">
        <w:rPr>
          <w:sz w:val="22"/>
          <w:szCs w:val="22"/>
        </w:rPr>
        <w:t xml:space="preserve"> Büyükbaş hekimliği ve sürü sağlığı.</w:t>
      </w:r>
    </w:p>
    <w:p w:rsidR="006856D5" w:rsidRPr="008A08B0" w:rsidRDefault="006856D5" w:rsidP="006856D5">
      <w:pPr>
        <w:pStyle w:val="NormalWeb"/>
        <w:numPr>
          <w:ilvl w:val="0"/>
          <w:numId w:val="18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Spesifik Vakalar:</w:t>
      </w:r>
      <w:r w:rsidRPr="008A08B0">
        <w:rPr>
          <w:sz w:val="22"/>
          <w:szCs w:val="22"/>
        </w:rPr>
        <w:t xml:space="preserve"> Buzağılarda </w:t>
      </w:r>
      <w:proofErr w:type="spellStart"/>
      <w:r w:rsidRPr="008A08B0">
        <w:rPr>
          <w:sz w:val="22"/>
          <w:szCs w:val="22"/>
        </w:rPr>
        <w:t>omfalit</w:t>
      </w:r>
      <w:proofErr w:type="spellEnd"/>
      <w:r w:rsidRPr="008A08B0">
        <w:rPr>
          <w:sz w:val="22"/>
          <w:szCs w:val="22"/>
        </w:rPr>
        <w:t xml:space="preserve"> ve </w:t>
      </w:r>
      <w:proofErr w:type="spellStart"/>
      <w:r w:rsidRPr="008A08B0">
        <w:rPr>
          <w:sz w:val="22"/>
          <w:szCs w:val="22"/>
        </w:rPr>
        <w:t>omfalomyelite</w:t>
      </w:r>
      <w:proofErr w:type="spellEnd"/>
      <w:r w:rsidRPr="008A08B0">
        <w:rPr>
          <w:sz w:val="22"/>
          <w:szCs w:val="22"/>
        </w:rPr>
        <w:t xml:space="preserve"> yaklaşım ve tedavi yöntemleri.</w:t>
      </w:r>
    </w:p>
    <w:p w:rsidR="006856D5" w:rsidRPr="008A08B0" w:rsidRDefault="006856D5" w:rsidP="006856D5">
      <w:pPr>
        <w:pStyle w:val="NormalWeb"/>
        <w:numPr>
          <w:ilvl w:val="0"/>
          <w:numId w:val="18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Saha Pratiği:</w:t>
      </w:r>
      <w:r w:rsidRPr="008A08B0">
        <w:rPr>
          <w:sz w:val="22"/>
          <w:szCs w:val="22"/>
        </w:rPr>
        <w:t xml:space="preserve"> Sahada kolay uygulanabilir genel bilgiler.</w:t>
      </w:r>
    </w:p>
    <w:p w:rsidR="006856D5" w:rsidRPr="008A08B0" w:rsidRDefault="006856D5" w:rsidP="006856D5">
      <w:pPr>
        <w:pStyle w:val="NormalWeb"/>
        <w:rPr>
          <w:sz w:val="22"/>
          <w:szCs w:val="22"/>
        </w:rPr>
      </w:pPr>
      <w:r w:rsidRPr="008A08B0">
        <w:rPr>
          <w:sz w:val="22"/>
          <w:szCs w:val="22"/>
        </w:rPr>
        <w:t>*Klasik branşlarda derinleşme talebi öne çıkıyor:</w:t>
      </w:r>
    </w:p>
    <w:p w:rsidR="006856D5" w:rsidRPr="008A08B0" w:rsidRDefault="006856D5" w:rsidP="006856D5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Dahili Branşlar:</w:t>
      </w:r>
      <w:r w:rsidRPr="008A08B0">
        <w:rPr>
          <w:sz w:val="22"/>
          <w:szCs w:val="22"/>
        </w:rPr>
        <w:t xml:space="preserve"> Dahiliye, Endokrinoloji, Doğum ve Göz Hastalıkları.</w:t>
      </w:r>
    </w:p>
    <w:p w:rsidR="006856D5" w:rsidRPr="008A08B0" w:rsidRDefault="006856D5" w:rsidP="006856D5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Laboratuvar ve Teşhis:</w:t>
      </w:r>
      <w:r w:rsidRPr="008A08B0">
        <w:rPr>
          <w:sz w:val="22"/>
          <w:szCs w:val="22"/>
        </w:rPr>
        <w:t xml:space="preserve"> Patoloji, Mikrobiyoloji, Farmakoloji ve Toksikoloji.</w:t>
      </w:r>
    </w:p>
    <w:p w:rsidR="006856D5" w:rsidRPr="008A08B0" w:rsidRDefault="006856D5" w:rsidP="006856D5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Cerrahi:</w:t>
      </w:r>
      <w:r w:rsidRPr="008A08B0">
        <w:rPr>
          <w:sz w:val="22"/>
          <w:szCs w:val="22"/>
        </w:rPr>
        <w:t xml:space="preserve"> Genel cerrahi uygulamaları ve ileri </w:t>
      </w:r>
      <w:proofErr w:type="spellStart"/>
      <w:r w:rsidRPr="008A08B0">
        <w:rPr>
          <w:sz w:val="22"/>
          <w:szCs w:val="22"/>
        </w:rPr>
        <w:t>operatif</w:t>
      </w:r>
      <w:proofErr w:type="spellEnd"/>
      <w:r w:rsidRPr="008A08B0">
        <w:rPr>
          <w:sz w:val="22"/>
          <w:szCs w:val="22"/>
        </w:rPr>
        <w:t xml:space="preserve"> yaklaşımlar.</w:t>
      </w:r>
    </w:p>
    <w:p w:rsidR="006856D5" w:rsidRPr="008A08B0" w:rsidRDefault="006856D5" w:rsidP="006856D5">
      <w:pPr>
        <w:pStyle w:val="NormalWeb"/>
        <w:rPr>
          <w:sz w:val="22"/>
          <w:szCs w:val="22"/>
        </w:rPr>
      </w:pPr>
      <w:r w:rsidRPr="008A08B0">
        <w:rPr>
          <w:sz w:val="22"/>
          <w:szCs w:val="22"/>
        </w:rPr>
        <w:t>*Veteriner hekimliğin modern ve özel alanlarına ilgi artıyor:</w:t>
      </w:r>
    </w:p>
    <w:p w:rsidR="006856D5" w:rsidRPr="008A08B0" w:rsidRDefault="006856D5" w:rsidP="006856D5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Yapay Zeka (AI):</w:t>
      </w:r>
      <w:r w:rsidRPr="008A08B0">
        <w:rPr>
          <w:sz w:val="22"/>
          <w:szCs w:val="22"/>
        </w:rPr>
        <w:t xml:space="preserve"> Akademik çalışmalar için veri havuzu oluşturma, yapay zeka destekli yorumlama ve programlama dizaynı.</w:t>
      </w:r>
    </w:p>
    <w:p w:rsidR="006856D5" w:rsidRPr="008A08B0" w:rsidRDefault="006856D5" w:rsidP="006856D5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Egzotik Hayvanlar:</w:t>
      </w:r>
      <w:r w:rsidRPr="008A08B0">
        <w:rPr>
          <w:sz w:val="22"/>
          <w:szCs w:val="22"/>
        </w:rPr>
        <w:t xml:space="preserve"> Egzotik türlerde dahili hastalıklar.</w:t>
      </w:r>
    </w:p>
    <w:p w:rsidR="006856D5" w:rsidRPr="008A08B0" w:rsidRDefault="006856D5" w:rsidP="006856D5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Davranış Bilimleri:</w:t>
      </w:r>
      <w:r w:rsidRPr="008A08B0">
        <w:rPr>
          <w:sz w:val="22"/>
          <w:szCs w:val="22"/>
        </w:rPr>
        <w:t xml:space="preserve"> Kedi ve köpeklerde davranış ve psikoloji eğitimi.</w:t>
      </w:r>
    </w:p>
    <w:p w:rsidR="006856D5" w:rsidRPr="008A08B0" w:rsidRDefault="006856D5" w:rsidP="006856D5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8A08B0">
        <w:rPr>
          <w:b/>
          <w:bCs/>
          <w:sz w:val="22"/>
          <w:szCs w:val="22"/>
        </w:rPr>
        <w:t>Kariyer:</w:t>
      </w:r>
      <w:r w:rsidRPr="008A08B0">
        <w:rPr>
          <w:sz w:val="22"/>
          <w:szCs w:val="22"/>
        </w:rPr>
        <w:t xml:space="preserve"> Yurtdışında veteriner hekimlik imkanları ve süreçleri.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3: Eklemek istediğiniz diğer görüşler</w:t>
      </w:r>
    </w:p>
    <w:p w:rsidR="006856D5" w:rsidRPr="00E14CED" w:rsidRDefault="006856D5" w:rsidP="006856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Seminerlerin süreklilik arz etmesi ve yüz yüze eğitimlerin artırılması.</w:t>
      </w:r>
    </w:p>
    <w:p w:rsidR="006856D5" w:rsidRPr="00E14CED" w:rsidRDefault="006856D5" w:rsidP="006856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pratikle doğrudan ilişkili "püf noktaların" paylaşılmaya devam edilmesi.</w:t>
      </w:r>
    </w:p>
    <w:p w:rsidR="006856D5" w:rsidRPr="00E14CED" w:rsidRDefault="006856D5" w:rsidP="006856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Üniversite hastanesi bünyesine görüntüleme cihazlarının kazandırılmasına yönelik genel beklenti.</w:t>
      </w:r>
    </w:p>
    <w:p w:rsidR="006856D5" w:rsidRPr="00E14CED" w:rsidRDefault="006856D5" w:rsidP="006856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14CE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Genel Değerlendirme</w:t>
      </w:r>
    </w:p>
    <w:p w:rsidR="006856D5" w:rsidRPr="008A08B0" w:rsidRDefault="006856D5" w:rsidP="006856D5">
      <w:pPr>
        <w:jc w:val="both"/>
        <w:rPr>
          <w:rFonts w:ascii="Times New Roman" w:hAnsi="Times New Roman" w:cs="Times New Roman"/>
        </w:rPr>
      </w:pPr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Abdomen BT ve Klinik Yaklaşım" semineri, hedeflenen öğrenme çıktılarına büyük oranda ulaşmıştır. Katılımcıların %87,5'i radyolojik bulguları yorumlama konusunda farkındalık kazandığını, %80'i ise klinik yaklaşımlarının geliştiğini beyan etmiştir. </w:t>
      </w:r>
      <w:proofErr w:type="spellStart"/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Organizasyonel</w:t>
      </w:r>
      <w:proofErr w:type="spellEnd"/>
      <w:r w:rsidRPr="008A0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başarının devamı için fiziksel mekanın teknik imkanlarının iyileştirilmesi ve bir sonraki modülde "Kontrastlı Görüntüleme Teknikleri" konusuna odaklanılması önerilmektedir.</w:t>
      </w:r>
    </w:p>
    <w:p w:rsidR="009C58EF" w:rsidRPr="008A08B0" w:rsidRDefault="009C58EF" w:rsidP="006856D5">
      <w:p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bookmarkStart w:id="0" w:name="_GoBack"/>
      <w:bookmarkEnd w:id="0"/>
    </w:p>
    <w:sectPr w:rsidR="009C58EF" w:rsidRPr="008A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BCD"/>
    <w:multiLevelType w:val="multilevel"/>
    <w:tmpl w:val="CD7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A7847"/>
    <w:multiLevelType w:val="multilevel"/>
    <w:tmpl w:val="0D8E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23211"/>
    <w:multiLevelType w:val="multilevel"/>
    <w:tmpl w:val="D210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379D1"/>
    <w:multiLevelType w:val="multilevel"/>
    <w:tmpl w:val="1808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04572"/>
    <w:multiLevelType w:val="multilevel"/>
    <w:tmpl w:val="D72E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0164F"/>
    <w:multiLevelType w:val="multilevel"/>
    <w:tmpl w:val="1CA2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A2B1E"/>
    <w:multiLevelType w:val="multilevel"/>
    <w:tmpl w:val="AAC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C69E5"/>
    <w:multiLevelType w:val="multilevel"/>
    <w:tmpl w:val="67D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F6865"/>
    <w:multiLevelType w:val="multilevel"/>
    <w:tmpl w:val="5EE6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25D0A"/>
    <w:multiLevelType w:val="multilevel"/>
    <w:tmpl w:val="0844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D7947"/>
    <w:multiLevelType w:val="multilevel"/>
    <w:tmpl w:val="CF96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B04CE"/>
    <w:multiLevelType w:val="multilevel"/>
    <w:tmpl w:val="1AD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B5D3C"/>
    <w:multiLevelType w:val="multilevel"/>
    <w:tmpl w:val="038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33544"/>
    <w:multiLevelType w:val="multilevel"/>
    <w:tmpl w:val="46BE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26235"/>
    <w:multiLevelType w:val="multilevel"/>
    <w:tmpl w:val="8F40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36792"/>
    <w:multiLevelType w:val="multilevel"/>
    <w:tmpl w:val="456A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C5A87"/>
    <w:multiLevelType w:val="multilevel"/>
    <w:tmpl w:val="7F2E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82D82"/>
    <w:multiLevelType w:val="multilevel"/>
    <w:tmpl w:val="0160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56F79"/>
    <w:multiLevelType w:val="multilevel"/>
    <w:tmpl w:val="A1F8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40998"/>
    <w:multiLevelType w:val="multilevel"/>
    <w:tmpl w:val="7A7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6"/>
  </w:num>
  <w:num w:numId="5">
    <w:abstractNumId w:val="12"/>
  </w:num>
  <w:num w:numId="6">
    <w:abstractNumId w:val="17"/>
  </w:num>
  <w:num w:numId="7">
    <w:abstractNumId w:val="9"/>
  </w:num>
  <w:num w:numId="8">
    <w:abstractNumId w:val="11"/>
  </w:num>
  <w:num w:numId="9">
    <w:abstractNumId w:val="8"/>
  </w:num>
  <w:num w:numId="10">
    <w:abstractNumId w:val="15"/>
  </w:num>
  <w:num w:numId="11">
    <w:abstractNumId w:val="3"/>
  </w:num>
  <w:num w:numId="12">
    <w:abstractNumId w:val="7"/>
  </w:num>
  <w:num w:numId="13">
    <w:abstractNumId w:val="6"/>
  </w:num>
  <w:num w:numId="14">
    <w:abstractNumId w:val="14"/>
  </w:num>
  <w:num w:numId="15">
    <w:abstractNumId w:val="10"/>
  </w:num>
  <w:num w:numId="16">
    <w:abstractNumId w:val="13"/>
  </w:num>
  <w:num w:numId="17">
    <w:abstractNumId w:val="2"/>
  </w:num>
  <w:num w:numId="18">
    <w:abstractNumId w:val="19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38"/>
    <w:rsid w:val="0030016C"/>
    <w:rsid w:val="0033707B"/>
    <w:rsid w:val="003559C7"/>
    <w:rsid w:val="00437138"/>
    <w:rsid w:val="0047637E"/>
    <w:rsid w:val="00647151"/>
    <w:rsid w:val="006856D5"/>
    <w:rsid w:val="007A14B1"/>
    <w:rsid w:val="008009F3"/>
    <w:rsid w:val="00837CB8"/>
    <w:rsid w:val="008A08B0"/>
    <w:rsid w:val="009C58EF"/>
    <w:rsid w:val="00AD4C5B"/>
    <w:rsid w:val="00E031F9"/>
    <w:rsid w:val="00EF1A3C"/>
    <w:rsid w:val="00F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4C6D"/>
  <w15:chartTrackingRefBased/>
  <w15:docId w15:val="{E6496534-E139-42DB-95B2-FF0D014C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37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Balk2">
    <w:name w:val="heading 2"/>
    <w:basedOn w:val="Normal"/>
    <w:link w:val="Balk2Char"/>
    <w:uiPriority w:val="9"/>
    <w:qFormat/>
    <w:rsid w:val="00437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paragraph" w:styleId="Balk3">
    <w:name w:val="heading 3"/>
    <w:basedOn w:val="Normal"/>
    <w:link w:val="Balk3Char"/>
    <w:uiPriority w:val="9"/>
    <w:qFormat/>
    <w:rsid w:val="00437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713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37138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437138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43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37138"/>
    <w:rPr>
      <w:b/>
      <w:bCs/>
    </w:rPr>
  </w:style>
  <w:style w:type="table" w:styleId="TabloKlavuzu">
    <w:name w:val="Table Grid"/>
    <w:basedOn w:val="NormalTablo"/>
    <w:uiPriority w:val="39"/>
    <w:rsid w:val="004371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-Vurgu5">
    <w:name w:val="List Table 6 Colorful Accent 5"/>
    <w:basedOn w:val="NormalTablo"/>
    <w:uiPriority w:val="51"/>
    <w:rsid w:val="00437138"/>
    <w:pPr>
      <w:spacing w:after="0" w:line="240" w:lineRule="auto"/>
    </w:pPr>
    <w:rPr>
      <w:color w:val="77206D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Kpr">
    <w:name w:val="Hyperlink"/>
    <w:basedOn w:val="VarsaylanParagrafYazTipi"/>
    <w:uiPriority w:val="99"/>
    <w:unhideWhenUsed/>
    <w:rsid w:val="004371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PEKİNCE</dc:creator>
  <cp:keywords/>
  <dc:description/>
  <cp:lastModifiedBy>Merve PEKİNCE</cp:lastModifiedBy>
  <cp:revision>4</cp:revision>
  <dcterms:created xsi:type="dcterms:W3CDTF">2026-03-31T20:39:00Z</dcterms:created>
  <dcterms:modified xsi:type="dcterms:W3CDTF">2026-03-31T20:40:00Z</dcterms:modified>
</cp:coreProperties>
</file>